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hd w:fill="1C1C1C" w:val="clear"/>
        <w:spacing w:after="60" w:before="160"/>
        <w:ind w:left="200"/>
      </w:pPr>
      <w:r>
        <w:rPr>
          <w:rFonts w:ascii="Arial" w:cs="Arial" w:eastAsia="Arial" w:hAnsi="Arial"/>
          <w:b/>
          <w:bCs/>
          <w:i w:val="false"/>
          <w:iCs w:val="false"/>
          <w:color w:val="FFFFFF"/>
          <w:sz w:val="36"/>
          <w:szCs w:val="36"/>
        </w:rPr>
        <w:t xml:space="preserve">Data Classification Worksheet</w:t>
      </w:r>
    </w:p>
    <w:p>
      <w:pPr>
        <w:shd w:fill="1C1C1C" w:val="clear"/>
        <w:spacing w:after="60" w:before="0"/>
        <w:ind w:left="200"/>
      </w:pPr>
      <w:r>
        <w:rPr>
          <w:rFonts w:ascii="Arial" w:cs="Arial" w:eastAsia="Arial" w:hAnsi="Arial"/>
          <w:b w:val="false"/>
          <w:bCs w:val="false"/>
          <w:i/>
          <w:iCs/>
          <w:color w:val="AAAAAA"/>
          <w:sz w:val="18"/>
          <w:szCs w:val="18"/>
        </w:rPr>
        <w:t xml:space="preserve">The Operator's Manual for Artificial Intelligence</w:t>
      </w:r>
    </w:p>
    <w:p>
      <w:pPr>
        <w:shd w:fill="1C1C1C" w:val="clear"/>
        <w:spacing w:after="200" w:before="0"/>
        <w:ind w:left="200"/>
      </w:pPr>
      <w:r>
        <w:rPr>
          <w:rFonts w:ascii="Arial" w:cs="Arial" w:eastAsia="Arial" w:hAnsi="Arial"/>
          <w:b w:val="false"/>
          <w:bCs w:val="false"/>
          <w:i/>
          <w:iCs/>
          <w:color w:val="CCCCCC"/>
          <w:sz w:val="18"/>
          <w:szCs w:val="18"/>
        </w:rPr>
        <w:t xml:space="preserve">Template Kit — Document 2 of 6</w:t>
      </w:r>
    </w:p>
    <w:p>
      <w:pPr>
        <w:shd w:fill="FFF8E6" w:val="clear"/>
        <w:spacing w:after="60" w:before="120"/>
        <w:ind w:left="180" w:right="180"/>
      </w:pPr>
      <w:r>
        <w:rPr>
          <w:rFonts w:ascii="Arial" w:cs="Arial" w:eastAsia="Arial" w:hAnsi="Arial"/>
          <w:b/>
          <w:bCs/>
          <w:i w:val="false"/>
          <w:iCs w:val="false"/>
          <w:color w:val="8A5C00"/>
          <w:sz w:val="20"/>
          <w:szCs w:val="20"/>
        </w:rPr>
        <w:t xml:space="preserve">IMPORTANT — BEFORE YOU USE THESE TEMPLATES</w:t>
      </w:r>
    </w:p>
    <w:p>
      <w:pPr>
        <w:shd w:fill="FFF8E6" w:val="clear"/>
        <w:spacing w:after="120" w:before="0"/>
        <w:ind w:left="180" w:right="180"/>
      </w:pPr>
      <w:r>
        <w:rPr>
          <w:rFonts w:ascii="Arial" w:cs="Arial" w:eastAsia="Arial" w:hAnsi="Arial"/>
          <w:b w:val="false"/>
          <w:bCs w:val="false"/>
          <w:i/>
          <w:iCs/>
          <w:sz w:val="20"/>
          <w:szCs w:val="20"/>
        </w:rPr>
        <w:t xml:space="preserve">These templates are starting points for organizations without existing AI governance. They are not legal documents and are not a substitute for qualified legal counsel. Review and adapt them to your specific jurisdiction, industry, and situation before use. Do not implement any policy, form, or checklist from this kit without professional review. The Operator's Manual for Artificial Intelligence makes no representations as to their completeness, accuracy, or fitness for any particular purpose.</w:t>
      </w:r>
    </w:p>
    <w:p>
      <w:pPr>
        <w:spacing w:after="200"/>
      </w:pPr>
      <w:r>
        <w:t xml:space="preserve"/>
      </w:r>
    </w:p>
    <w:p>
      <w:pPr>
        <w:pBdr>
          <w:bottom w:val="single" w:color="CCCCCC" w:sz="3"/>
        </w:pBdr>
        <w:spacing w:after="160" w:before="320"/>
      </w:pPr>
      <w:r>
        <w:rPr>
          <w:rFonts w:ascii="Arial" w:cs="Arial" w:eastAsia="Arial" w:hAnsi="Arial"/>
          <w:b/>
          <w:bCs/>
          <w:i w:val="false"/>
          <w:iCs w:val="false"/>
          <w:sz w:val="24"/>
          <w:szCs w:val="24"/>
        </w:rPr>
        <w:t xml:space="preserve">1. Document Information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rPr>
          <w:tblHeader/>
        </w:trPr>
        <w:tc>
          <w:tcPr>
            <w:tcW w:type="dxa" w:w="300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Field</w:t>
            </w:r>
          </w:p>
        </w:tc>
        <w:tc>
          <w:tcPr>
            <w:tcW w:type="dxa" w:w="636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Entry</w:t>
            </w:r>
          </w:p>
        </w:tc>
      </w:tr>
      <w:tr>
        <w:tc>
          <w:tcPr>
            <w:tcW w:type="dxa" w:w="3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Organization Name</w:t>
            </w:r>
          </w:p>
        </w:tc>
        <w:tc>
          <w:tcPr>
            <w:tcW w:type="dxa" w:w="63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Enter organization name ]</w:t>
            </w:r>
          </w:p>
        </w:tc>
      </w:tr>
      <w:tr>
        <w:tc>
          <w:tcPr>
            <w:tcW w:type="dxa" w:w="3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Prepared By</w:t>
            </w:r>
          </w:p>
        </w:tc>
        <w:tc>
          <w:tcPr>
            <w:tcW w:type="dxa" w:w="63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Name and title ]</w:t>
            </w:r>
          </w:p>
        </w:tc>
      </w:tr>
      <w:tr>
        <w:tc>
          <w:tcPr>
            <w:tcW w:type="dxa" w:w="3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Date</w:t>
            </w:r>
          </w:p>
        </w:tc>
        <w:tc>
          <w:tcPr>
            <w:tcW w:type="dxa" w:w="63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Enter date ]</w:t>
            </w:r>
          </w:p>
        </w:tc>
      </w:tr>
      <w:tr>
        <w:tc>
          <w:tcPr>
            <w:tcW w:type="dxa" w:w="3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Version</w:t>
            </w:r>
          </w:p>
        </w:tc>
        <w:tc>
          <w:tcPr>
            <w:tcW w:type="dxa" w:w="63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1.0</w:t>
            </w:r>
          </w:p>
        </w:tc>
      </w:tr>
      <w:tr>
        <w:tc>
          <w:tcPr>
            <w:tcW w:type="dxa" w:w="3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Reviewed By</w:t>
            </w:r>
          </w:p>
        </w:tc>
        <w:tc>
          <w:tcPr>
            <w:tcW w:type="dxa" w:w="63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Name and title ]</w:t>
            </w:r>
          </w:p>
        </w:tc>
      </w:tr>
      <w:tr>
        <w:tc>
          <w:tcPr>
            <w:tcW w:type="dxa" w:w="3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Next Review Date</w:t>
            </w:r>
          </w:p>
        </w:tc>
        <w:tc>
          <w:tcPr>
            <w:tcW w:type="dxa" w:w="63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Enter date ]</w:t>
            </w:r>
          </w:p>
        </w:tc>
      </w:tr>
    </w:tbl>
    <w:p>
      <w:pPr>
        <w:spacing w:after="160"/>
      </w:pPr>
      <w:r>
        <w:t xml:space="preserve"/>
      </w:r>
    </w:p>
    <w:p>
      <w:pPr>
        <w:pBdr>
          <w:bottom w:val="single" w:color="CCCCCC" w:sz="3"/>
        </w:pBdr>
        <w:spacing w:after="160" w:before="320"/>
      </w:pPr>
      <w:r>
        <w:rPr>
          <w:rFonts w:ascii="Arial" w:cs="Arial" w:eastAsia="Arial" w:hAnsi="Arial"/>
          <w:b/>
          <w:bCs/>
          <w:i w:val="false"/>
          <w:iCs w:val="false"/>
          <w:sz w:val="24"/>
          <w:szCs w:val="24"/>
        </w:rPr>
        <w:t xml:space="preserve">2. How to Use This Worksheet</w:t>
      </w:r>
    </w:p>
    <w:p>
      <w:pPr>
        <w:spacing w:after="120" w:before="0"/>
        <w:jc w:val="left"/>
      </w:pPr>
      <w:r>
        <w:rPr>
          <w:rFonts w:ascii="Arial" w:cs="Arial" w:eastAsia="Arial" w:hAnsi="Arial"/>
          <w:b w:val="false"/>
          <w:bCs w:val="false"/>
          <w:i w:val="false"/>
          <w:iCs w:val="false"/>
          <w:sz w:val="22"/>
          <w:szCs w:val="22"/>
        </w:rPr>
        <w:t xml:space="preserve">Use this worksheet to determine whether a type of data may be pasted into an AI tool. Work through it before any task that involves organizational data. If you reach a row marked STOP, do not paste and escalate to your manager or the Policy Owner.</w:t>
      </w:r>
    </w:p>
    <w:p>
      <w:pPr>
        <w:spacing w:after="120" w:before="0"/>
        <w:jc w:val="left"/>
      </w:pPr>
      <w:r>
        <w:rPr>
          <w:rFonts w:ascii="Arial" w:cs="Arial" w:eastAsia="Arial" w:hAnsi="Arial"/>
          <w:b w:val="false"/>
          <w:bCs w:val="false"/>
          <w:i w:val="false"/>
          <w:iCs w:val="false"/>
          <w:sz w:val="22"/>
          <w:szCs w:val="22"/>
        </w:rPr>
        <w:t xml:space="preserve">This worksheet does not replace legal advice. If you are unsure whether a data type is classified correctly for your jurisdiction or industry, consult your legal or compliance team before proceeding.</w:t>
      </w:r>
    </w:p>
    <w:p>
      <w:pPr>
        <w:spacing w:after="160"/>
      </w:pPr>
      <w:r>
        <w:t xml:space="preserve"/>
      </w:r>
    </w:p>
    <w:p>
      <w:pPr>
        <w:pBdr>
          <w:bottom w:val="single" w:color="CCCCCC" w:sz="3"/>
        </w:pBdr>
        <w:spacing w:after="160" w:before="320"/>
      </w:pPr>
      <w:r>
        <w:rPr>
          <w:rFonts w:ascii="Arial" w:cs="Arial" w:eastAsia="Arial" w:hAnsi="Arial"/>
          <w:b/>
          <w:bCs/>
          <w:i w:val="false"/>
          <w:iCs w:val="false"/>
          <w:sz w:val="24"/>
          <w:szCs w:val="24"/>
        </w:rPr>
        <w:t xml:space="preserve">3. Classification Levels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7360"/>
      </w:tblGrid>
      <w:tr>
        <w:trPr>
          <w:tblHeader/>
        </w:trPr>
        <w:tc>
          <w:tcPr>
            <w:tcW w:type="dxa" w:w="200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Level</w:t>
            </w:r>
          </w:p>
        </w:tc>
        <w:tc>
          <w:tcPr>
            <w:tcW w:type="dxa" w:w="736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Meaning</w:t>
            </w:r>
          </w:p>
        </w:tc>
      </w:tr>
      <w:tr>
        <w:tc>
          <w:tcPr>
            <w:tcW w:type="dxa" w:w="2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Public</w:t>
            </w:r>
          </w:p>
        </w:tc>
        <w:tc>
          <w:tcPr>
            <w:tcW w:type="dxa" w:w="73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Information already published or intended for public disclosure. No restriction on use.</w:t>
            </w:r>
          </w:p>
        </w:tc>
      </w:tr>
      <w:tr>
        <w:tc>
          <w:tcPr>
            <w:tcW w:type="dxa" w:w="2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Internal</w:t>
            </w:r>
          </w:p>
        </w:tc>
        <w:tc>
          <w:tcPr>
            <w:tcW w:type="dxa" w:w="73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Information for internal use. Not sensitive, but not intended for external distribution.</w:t>
            </w:r>
          </w:p>
        </w:tc>
      </w:tr>
      <w:tr>
        <w:tc>
          <w:tcPr>
            <w:tcW w:type="dxa" w:w="2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Confidential</w:t>
            </w:r>
          </w:p>
        </w:tc>
        <w:tc>
          <w:tcPr>
            <w:tcW w:type="dxa" w:w="73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Sensitive organizational information. Limited to those with a need to know. Requires care.</w:t>
            </w:r>
          </w:p>
        </w:tc>
      </w:tr>
      <w:tr>
        <w:tc>
          <w:tcPr>
            <w:tcW w:type="dxa" w:w="2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Restricted</w:t>
            </w:r>
          </w:p>
        </w:tc>
        <w:tc>
          <w:tcPr>
            <w:tcW w:type="dxa" w:w="73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Highly sensitive. Significant harm if disclosed. Requires explicit approval before use in any AI tool.</w:t>
            </w:r>
          </w:p>
        </w:tc>
      </w:tr>
      <w:tr>
        <w:tc>
          <w:tcPr>
            <w:tcW w:type="dxa" w:w="2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Regulated</w:t>
            </w:r>
          </w:p>
        </w:tc>
        <w:tc>
          <w:tcPr>
            <w:tcW w:type="dxa" w:w="73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Subject to specific legal or regulatory obligations (e.g., HIPAA, GDPR, PCI-DSS, SOX). Governed by law, not only policy. Consult legal before any AI use.</w:t>
            </w:r>
          </w:p>
        </w:tc>
      </w:tr>
    </w:tbl>
    <w:p>
      <w:pPr>
        <w:spacing w:after="160"/>
      </w:pPr>
      <w:r>
        <w:t xml:space="preserve"/>
      </w:r>
    </w:p>
    <w:p>
      <w:pPr>
        <w:pBdr>
          <w:bottom w:val="single" w:color="CCCCCC" w:sz="3"/>
        </w:pBdr>
        <w:spacing w:after="160" w:before="320"/>
      </w:pPr>
      <w:r>
        <w:rPr>
          <w:rFonts w:ascii="Arial" w:cs="Arial" w:eastAsia="Arial" w:hAnsi="Arial"/>
          <w:b/>
          <w:bCs/>
          <w:i w:val="false"/>
          <w:iCs w:val="false"/>
          <w:sz w:val="24"/>
          <w:szCs w:val="24"/>
        </w:rPr>
        <w:t xml:space="preserve">4. Data Classification Reference Table</w:t>
      </w:r>
    </w:p>
    <w:p>
      <w:pPr>
        <w:spacing w:after="120" w:before="0"/>
        <w:jc w:val="left"/>
      </w:pPr>
      <w:r>
        <w:rPr>
          <w:rFonts w:ascii="Arial" w:cs="Arial" w:eastAsia="Arial" w:hAnsi="Arial"/>
          <w:b w:val="false"/>
          <w:bCs w:val="false"/>
          <w:i w:val="false"/>
          <w:iCs w:val="false"/>
          <w:sz w:val="22"/>
          <w:szCs w:val="22"/>
        </w:rPr>
        <w:t xml:space="preserve">This table provides a starting point. Add, remove, or reclassify rows to match your organization and industry. Legal review is required before treating this as final.</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1800"/>
        <w:gridCol w:w="1760"/>
        <w:gridCol w:w="2800"/>
      </w:tblGrid>
      <w:tr>
        <w:trPr>
          <w:tblHeader/>
        </w:trPr>
        <w:tc>
          <w:tcPr>
            <w:tcW w:type="dxa" w:w="300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Data Type</w:t>
            </w:r>
          </w:p>
        </w:tc>
        <w:tc>
          <w:tcPr>
            <w:tcW w:type="dxa" w:w="180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Classification</w:t>
            </w:r>
          </w:p>
        </w:tc>
        <w:tc>
          <w:tcPr>
            <w:tcW w:type="dxa" w:w="176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Safe to Paste?</w:t>
            </w:r>
          </w:p>
        </w:tc>
        <w:tc>
          <w:tcPr>
            <w:tcW w:type="dxa" w:w="280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Conditions or Notes</w:t>
            </w:r>
          </w:p>
        </w:tc>
      </w:tr>
      <w:tr>
        <w:tc>
          <w:tcPr>
            <w:tcW w:type="dxa" w:w="3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Employee names (internal context)</w:t>
            </w:r>
          </w:p>
        </w:tc>
        <w:tc>
          <w:tcPr>
            <w:tcW w:type="dxa" w:w="18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Internal</w:t>
            </w:r>
          </w:p>
        </w:tc>
        <w:tc>
          <w:tcPr>
            <w:tcW w:type="dxa" w:w="17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With care</w:t>
            </w:r>
          </w:p>
        </w:tc>
        <w:tc>
          <w:tcPr>
            <w:tcW w:type="dxa" w:w="28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Use first name only where sufficient</w:t>
            </w:r>
          </w:p>
        </w:tc>
      </w:tr>
      <w:tr>
        <w:tc>
          <w:tcPr>
            <w:tcW w:type="dxa" w:w="3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Customer or client names</w:t>
            </w:r>
          </w:p>
        </w:tc>
        <w:tc>
          <w:tcPr>
            <w:tcW w:type="dxa" w:w="18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Confidential</w:t>
            </w:r>
          </w:p>
        </w:tc>
        <w:tc>
          <w:tcPr>
            <w:tcW w:type="dxa" w:w="17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No — generally</w:t>
            </w:r>
          </w:p>
        </w:tc>
        <w:tc>
          <w:tcPr>
            <w:tcW w:type="dxa" w:w="28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Requires explicit policy clearance</w:t>
            </w:r>
          </w:p>
        </w:tc>
      </w:tr>
      <w:tr>
        <w:tc>
          <w:tcPr>
            <w:tcW w:type="dxa" w:w="3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Personal email addresses</w:t>
            </w:r>
          </w:p>
        </w:tc>
        <w:tc>
          <w:tcPr>
            <w:tcW w:type="dxa" w:w="18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Confidential</w:t>
            </w:r>
          </w:p>
        </w:tc>
        <w:tc>
          <w:tcPr>
            <w:tcW w:type="dxa" w:w="17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No</w:t>
            </w:r>
          </w:p>
        </w:tc>
        <w:tc>
          <w:tcPr>
            <w:tcW w:type="dxa" w:w="28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PII — do not paste without governance</w:t>
            </w:r>
          </w:p>
        </w:tc>
      </w:tr>
      <w:tr>
        <w:tc>
          <w:tcPr>
            <w:tcW w:type="dxa" w:w="3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Personal phone numbers</w:t>
            </w:r>
          </w:p>
        </w:tc>
        <w:tc>
          <w:tcPr>
            <w:tcW w:type="dxa" w:w="18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Confidential</w:t>
            </w:r>
          </w:p>
        </w:tc>
        <w:tc>
          <w:tcPr>
            <w:tcW w:type="dxa" w:w="17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No</w:t>
            </w:r>
          </w:p>
        </w:tc>
        <w:tc>
          <w:tcPr>
            <w:tcW w:type="dxa" w:w="28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PII — do not paste without governance</w:t>
            </w:r>
          </w:p>
        </w:tc>
      </w:tr>
      <w:tr>
        <w:tc>
          <w:tcPr>
            <w:tcW w:type="dxa" w:w="3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National ID numbers (SSN, SIN, etc.)</w:t>
            </w:r>
          </w:p>
        </w:tc>
        <w:tc>
          <w:tcPr>
            <w:tcW w:type="dxa" w:w="18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Restricted</w:t>
            </w:r>
          </w:p>
        </w:tc>
        <w:tc>
          <w:tcPr>
            <w:tcW w:type="dxa" w:w="17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STOP</w:t>
            </w:r>
          </w:p>
        </w:tc>
        <w:tc>
          <w:tcPr>
            <w:tcW w:type="dxa" w:w="28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Prohibited Without Governance</w:t>
            </w:r>
          </w:p>
        </w:tc>
      </w:tr>
      <w:tr>
        <w:tc>
          <w:tcPr>
            <w:tcW w:type="dxa" w:w="3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Dates of birth</w:t>
            </w:r>
          </w:p>
        </w:tc>
        <w:tc>
          <w:tcPr>
            <w:tcW w:type="dxa" w:w="18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Restricted</w:t>
            </w:r>
          </w:p>
        </w:tc>
        <w:tc>
          <w:tcPr>
            <w:tcW w:type="dxa" w:w="17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STOP</w:t>
            </w:r>
          </w:p>
        </w:tc>
        <w:tc>
          <w:tcPr>
            <w:tcW w:type="dxa" w:w="28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Prohibited Without Governance</w:t>
            </w:r>
          </w:p>
        </w:tc>
      </w:tr>
      <w:tr>
        <w:tc>
          <w:tcPr>
            <w:tcW w:type="dxa" w:w="3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Health or medical information</w:t>
            </w:r>
          </w:p>
        </w:tc>
        <w:tc>
          <w:tcPr>
            <w:tcW w:type="dxa" w:w="18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Regulated</w:t>
            </w:r>
          </w:p>
        </w:tc>
        <w:tc>
          <w:tcPr>
            <w:tcW w:type="dxa" w:w="17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STOP</w:t>
            </w:r>
          </w:p>
        </w:tc>
        <w:tc>
          <w:tcPr>
            <w:tcW w:type="dxa" w:w="28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Requires legal sign-off; may violate HIPAA or equivalent</w:t>
            </w:r>
          </w:p>
        </w:tc>
      </w:tr>
      <w:tr>
        <w:tc>
          <w:tcPr>
            <w:tcW w:type="dxa" w:w="3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Financial account numbers</w:t>
            </w:r>
          </w:p>
        </w:tc>
        <w:tc>
          <w:tcPr>
            <w:tcW w:type="dxa" w:w="18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Restricted</w:t>
            </w:r>
          </w:p>
        </w:tc>
        <w:tc>
          <w:tcPr>
            <w:tcW w:type="dxa" w:w="17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STOP</w:t>
            </w:r>
          </w:p>
        </w:tc>
        <w:tc>
          <w:tcPr>
            <w:tcW w:type="dxa" w:w="28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Prohibited Without Governance</w:t>
            </w:r>
          </w:p>
        </w:tc>
      </w:tr>
      <w:tr>
        <w:tc>
          <w:tcPr>
            <w:tcW w:type="dxa" w:w="3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Salary or compensation data</w:t>
            </w:r>
          </w:p>
        </w:tc>
        <w:tc>
          <w:tcPr>
            <w:tcW w:type="dxa" w:w="18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Restricted</w:t>
            </w:r>
          </w:p>
        </w:tc>
        <w:tc>
          <w:tcPr>
            <w:tcW w:type="dxa" w:w="17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STOP</w:t>
            </w:r>
          </w:p>
        </w:tc>
        <w:tc>
          <w:tcPr>
            <w:tcW w:type="dxa" w:w="28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Requires explicit approval</w:t>
            </w:r>
          </w:p>
        </w:tc>
      </w:tr>
      <w:tr>
        <w:tc>
          <w:tcPr>
            <w:tcW w:type="dxa" w:w="3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Performance reviews</w:t>
            </w:r>
          </w:p>
        </w:tc>
        <w:tc>
          <w:tcPr>
            <w:tcW w:type="dxa" w:w="18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Confidential</w:t>
            </w:r>
          </w:p>
        </w:tc>
        <w:tc>
          <w:tcPr>
            <w:tcW w:type="dxa" w:w="17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No — generally</w:t>
            </w:r>
          </w:p>
        </w:tc>
        <w:tc>
          <w:tcPr>
            <w:tcW w:type="dxa" w:w="28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Contains personal data; requires approval</w:t>
            </w:r>
          </w:p>
        </w:tc>
      </w:tr>
      <w:tr>
        <w:tc>
          <w:tcPr>
            <w:tcW w:type="dxa" w:w="3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Internal legal documents</w:t>
            </w:r>
          </w:p>
        </w:tc>
        <w:tc>
          <w:tcPr>
            <w:tcW w:type="dxa" w:w="18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Restricted</w:t>
            </w:r>
          </w:p>
        </w:tc>
        <w:tc>
          <w:tcPr>
            <w:tcW w:type="dxa" w:w="17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STOP</w:t>
            </w:r>
          </w:p>
        </w:tc>
        <w:tc>
          <w:tcPr>
            <w:tcW w:type="dxa" w:w="28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Attorney-client privilege may apply</w:t>
            </w:r>
          </w:p>
        </w:tc>
      </w:tr>
      <w:tr>
        <w:tc>
          <w:tcPr>
            <w:tcW w:type="dxa" w:w="3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Client contracts</w:t>
            </w:r>
          </w:p>
        </w:tc>
        <w:tc>
          <w:tcPr>
            <w:tcW w:type="dxa" w:w="18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Confidential</w:t>
            </w:r>
          </w:p>
        </w:tc>
        <w:tc>
          <w:tcPr>
            <w:tcW w:type="dxa" w:w="17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No — generally</w:t>
            </w:r>
          </w:p>
        </w:tc>
        <w:tc>
          <w:tcPr>
            <w:tcW w:type="dxa" w:w="28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Review for NDA provisions; get approval</w:t>
            </w:r>
          </w:p>
        </w:tc>
      </w:tr>
      <w:tr>
        <w:tc>
          <w:tcPr>
            <w:tcW w:type="dxa" w:w="3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Credentials / passwords / API keys</w:t>
            </w:r>
          </w:p>
        </w:tc>
        <w:tc>
          <w:tcPr>
            <w:tcW w:type="dxa" w:w="18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Restricted</w:t>
            </w:r>
          </w:p>
        </w:tc>
        <w:tc>
          <w:tcPr>
            <w:tcW w:type="dxa" w:w="17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STOP</w:t>
            </w:r>
          </w:p>
        </w:tc>
        <w:tc>
          <w:tcPr>
            <w:tcW w:type="dxa" w:w="28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Security risk — never paste</w:t>
            </w:r>
          </w:p>
        </w:tc>
      </w:tr>
      <w:tr>
        <w:tc>
          <w:tcPr>
            <w:tcW w:type="dxa" w:w="3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Source code (proprietary)</w:t>
            </w:r>
          </w:p>
        </w:tc>
        <w:tc>
          <w:tcPr>
            <w:tcW w:type="dxa" w:w="18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Confidential</w:t>
            </w:r>
          </w:p>
        </w:tc>
        <w:tc>
          <w:tcPr>
            <w:tcW w:type="dxa" w:w="17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Conditional</w:t>
            </w:r>
          </w:p>
        </w:tc>
        <w:tc>
          <w:tcPr>
            <w:tcW w:type="dxa" w:w="28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Requires approval and review of vendor data terms</w:t>
            </w:r>
          </w:p>
        </w:tc>
      </w:tr>
      <w:tr>
        <w:tc>
          <w:tcPr>
            <w:tcW w:type="dxa" w:w="3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Meeting notes (internal)</w:t>
            </w:r>
          </w:p>
        </w:tc>
        <w:tc>
          <w:tcPr>
            <w:tcW w:type="dxa" w:w="18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Internal</w:t>
            </w:r>
          </w:p>
        </w:tc>
        <w:tc>
          <w:tcPr>
            <w:tcW w:type="dxa" w:w="17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With care</w:t>
            </w:r>
          </w:p>
        </w:tc>
        <w:tc>
          <w:tcPr>
            <w:tcW w:type="dxa" w:w="28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Remove names and identifying details first</w:t>
            </w:r>
          </w:p>
        </w:tc>
      </w:tr>
      <w:tr>
        <w:tc>
          <w:tcPr>
            <w:tcW w:type="dxa" w:w="3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Marketing copy (draft)</w:t>
            </w:r>
          </w:p>
        </w:tc>
        <w:tc>
          <w:tcPr>
            <w:tcW w:type="dxa" w:w="18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Internal</w:t>
            </w:r>
          </w:p>
        </w:tc>
        <w:tc>
          <w:tcPr>
            <w:tcW w:type="dxa" w:w="17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Yes</w:t>
            </w:r>
          </w:p>
        </w:tc>
        <w:tc>
          <w:tcPr>
            <w:tcW w:type="dxa" w:w="28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Standard review before sending externally</w:t>
            </w:r>
          </w:p>
        </w:tc>
      </w:tr>
      <w:tr>
        <w:tc>
          <w:tcPr>
            <w:tcW w:type="dxa" w:w="3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Published public information</w:t>
            </w:r>
          </w:p>
        </w:tc>
        <w:tc>
          <w:tcPr>
            <w:tcW w:type="dxa" w:w="18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Public</w:t>
            </w:r>
          </w:p>
        </w:tc>
        <w:tc>
          <w:tcPr>
            <w:tcW w:type="dxa" w:w="17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Yes</w:t>
            </w:r>
          </w:p>
        </w:tc>
        <w:tc>
          <w:tcPr>
            <w:tcW w:type="dxa" w:w="28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No restriction</w:t>
            </w:r>
          </w:p>
        </w:tc>
      </w:tr>
    </w:tbl>
    <w:p>
      <w:pPr>
        <w:spacing w:after="160"/>
      </w:pPr>
      <w:r>
        <w:t xml:space="preserve"/>
      </w:r>
    </w:p>
    <w:p>
      <w:pPr>
        <w:pBdr>
          <w:bottom w:val="single" w:color="CCCCCC" w:sz="3"/>
        </w:pBdr>
        <w:spacing w:after="160" w:before="320"/>
      </w:pPr>
      <w:r>
        <w:rPr>
          <w:rFonts w:ascii="Arial" w:cs="Arial" w:eastAsia="Arial" w:hAnsi="Arial"/>
          <w:b/>
          <w:bCs/>
          <w:i w:val="false"/>
          <w:iCs w:val="false"/>
          <w:sz w:val="24"/>
          <w:szCs w:val="24"/>
        </w:rPr>
        <w:t xml:space="preserve">5. The Paste Decision Rule</w:t>
      </w:r>
    </w:p>
    <w:p>
      <w:pPr>
        <w:shd w:fill="D5E8F0" w:val="clear"/>
        <w:spacing w:after="120" w:before="120"/>
        <w:ind w:left="200" w:right="200"/>
      </w:pPr>
      <w:r>
        <w:rPr>
          <w:rFonts w:ascii="Arial" w:cs="Arial" w:eastAsia="Arial" w:hAnsi="Arial"/>
          <w:b/>
          <w:bCs/>
          <w:i w:val="false"/>
          <w:iCs w:val="false"/>
          <w:sz w:val="22"/>
          <w:szCs w:val="22"/>
        </w:rPr>
        <w:t xml:space="preserve">If in doubt — treat it as Restricted. Stop. Escalate.</w:t>
      </w:r>
    </w:p>
    <w:p>
      <w:pPr>
        <w:spacing w:after="120" w:before="0"/>
        <w:jc w:val="left"/>
      </w:pPr>
      <w:r>
        <w:rPr>
          <w:rFonts w:ascii="Arial" w:cs="Arial" w:eastAsia="Arial" w:hAnsi="Arial"/>
          <w:b w:val="false"/>
          <w:bCs w:val="false"/>
          <w:i w:val="false"/>
          <w:iCs w:val="false"/>
          <w:sz w:val="22"/>
          <w:szCs w:val="22"/>
        </w:rPr>
        <w:t xml:space="preserve">Ask yourself: "If this data appeared in a news story about a data breach, how bad would that be for the person it belongs to and for this organization?" If the answer is "significant," do not paste.</w:t>
      </w:r>
    </w:p>
    <w:p>
      <w:pPr>
        <w:spacing w:after="160"/>
      </w:pPr>
      <w:r>
        <w:t xml:space="preserve"/>
      </w:r>
    </w:p>
    <w:p>
      <w:pPr>
        <w:pBdr>
          <w:bottom w:val="single" w:color="CCCCCC" w:sz="3"/>
        </w:pBdr>
        <w:spacing w:after="160" w:before="320"/>
      </w:pPr>
      <w:r>
        <w:rPr>
          <w:rFonts w:ascii="Arial" w:cs="Arial" w:eastAsia="Arial" w:hAnsi="Arial"/>
          <w:b/>
          <w:bCs/>
          <w:i w:val="false"/>
          <w:iCs w:val="false"/>
          <w:sz w:val="24"/>
          <w:szCs w:val="24"/>
        </w:rPr>
        <w:t xml:space="preserve">6. Task-Specific Assessment</w:t>
      </w:r>
    </w:p>
    <w:p>
      <w:pPr>
        <w:spacing w:after="120" w:before="0"/>
        <w:jc w:val="left"/>
      </w:pPr>
      <w:r>
        <w:rPr>
          <w:rFonts w:ascii="Arial" w:cs="Arial" w:eastAsia="Arial" w:hAnsi="Arial"/>
          <w:b w:val="false"/>
          <w:bCs w:val="false"/>
          <w:i w:val="false"/>
          <w:iCs w:val="false"/>
          <w:sz w:val="22"/>
          <w:szCs w:val="22"/>
        </w:rPr>
        <w:t xml:space="preserve">Complete this section for the specific task you are about to perform.</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500"/>
        <w:gridCol w:w="5860"/>
      </w:tblGrid>
      <w:tr>
        <w:trPr>
          <w:tblHeader/>
        </w:trPr>
        <w:tc>
          <w:tcPr>
            <w:tcW w:type="dxa" w:w="350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Field</w:t>
            </w:r>
          </w:p>
        </w:tc>
        <w:tc>
          <w:tcPr>
            <w:tcW w:type="dxa" w:w="586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Entry</w:t>
            </w:r>
          </w:p>
        </w:tc>
      </w:tr>
      <w:tr>
        <w:tc>
          <w:tcPr>
            <w:tcW w:type="dxa" w:w="35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Task Description</w:t>
            </w:r>
          </w:p>
        </w:tc>
        <w:tc>
          <w:tcPr>
            <w:tcW w:type="dxa" w:w="58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35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AI Tool to Be Used</w:t>
            </w:r>
          </w:p>
        </w:tc>
        <w:tc>
          <w:tcPr>
            <w:tcW w:type="dxa" w:w="58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35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Data Involved</w:t>
            </w:r>
          </w:p>
        </w:tc>
        <w:tc>
          <w:tcPr>
            <w:tcW w:type="dxa" w:w="58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35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Classification of Data (from Section 4)</w:t>
            </w:r>
          </w:p>
        </w:tc>
        <w:tc>
          <w:tcPr>
            <w:tcW w:type="dxa" w:w="58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35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Is Pasting Permitted? (Yes / No / Conditional)</w:t>
            </w:r>
          </w:p>
        </w:tc>
        <w:tc>
          <w:tcPr>
            <w:tcW w:type="dxa" w:w="58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35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If Conditional — What Approval Is Required?</w:t>
            </w:r>
          </w:p>
        </w:tc>
        <w:tc>
          <w:tcPr>
            <w:tcW w:type="dxa" w:w="58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35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Approval Received From</w:t>
            </w:r>
          </w:p>
        </w:tc>
        <w:tc>
          <w:tcPr>
            <w:tcW w:type="dxa" w:w="58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35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Date of Assessment</w:t>
            </w:r>
          </w:p>
        </w:tc>
        <w:tc>
          <w:tcPr>
            <w:tcW w:type="dxa" w:w="58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bl>
    <w:p>
      <w:pPr>
        <w:spacing w:after="160"/>
      </w:pPr>
      <w:r>
        <w:t xml:space="preserve"/>
      </w:r>
    </w:p>
    <w:p>
      <w:pPr>
        <w:pBdr>
          <w:bottom w:val="single" w:color="CCCCCC" w:sz="3"/>
        </w:pBdr>
        <w:spacing w:after="160" w:before="320"/>
      </w:pPr>
      <w:r>
        <w:rPr>
          <w:rFonts w:ascii="Arial" w:cs="Arial" w:eastAsia="Arial" w:hAnsi="Arial"/>
          <w:b/>
          <w:bCs/>
          <w:i w:val="false"/>
          <w:iCs w:val="false"/>
          <w:sz w:val="24"/>
          <w:szCs w:val="24"/>
        </w:rPr>
        <w:t xml:space="preserve">7. Sign-off</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pPr>
              <w:spacing w:after="60"/>
            </w:pPr>
            <w:r>
              <w:rPr>
                <w:rFonts w:ascii="Arial" w:cs="Arial" w:eastAsia="Arial" w:hAnsi="Arial"/>
                <w:b/>
                <w:bCs/>
                <w:i w:val="false"/>
                <w:iCs w:val="false"/>
                <w:color w:val="666666"/>
                <w:sz w:val="18"/>
                <w:szCs w:val="18"/>
              </w:rPr>
              <w:t xml:space="preserve">Completed By (Name)</w:t>
            </w:r>
          </w:p>
          <w:p>
            <w:pPr>
              <w:spacing w:after="100"/>
            </w:pPr>
            <w:r>
              <w:rPr>
                <w:rFonts w:ascii="Arial" w:cs="Arial" w:eastAsia="Arial" w:hAnsi="Arial"/>
                <w:sz w:val="22"/>
                <w:szCs w:val="22"/>
              </w:rPr>
              <w:t xml:space="preserve"/>
            </w:r>
          </w:p>
        </w:tc>
        <w:tc>
          <w:tcPr>
            <w:tcW w:type="dxa" w:w="468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pPr>
              <w:spacing w:after="60"/>
            </w:pPr>
            <w:r>
              <w:rPr>
                <w:rFonts w:ascii="Arial" w:cs="Arial" w:eastAsia="Arial" w:hAnsi="Arial"/>
                <w:b/>
                <w:bCs/>
                <w:i w:val="false"/>
                <w:iCs w:val="false"/>
                <w:color w:val="666666"/>
                <w:sz w:val="18"/>
                <w:szCs w:val="18"/>
              </w:rPr>
              <w:t xml:space="preserve">Date</w:t>
            </w:r>
          </w:p>
          <w:p>
            <w:pPr>
              <w:spacing w:after="100"/>
            </w:pPr>
            <w:r>
              <w:rPr>
                <w:rFonts w:ascii="Arial" w:cs="Arial" w:eastAsia="Arial" w:hAnsi="Arial"/>
                <w:sz w:val="22"/>
                <w:szCs w:val="22"/>
              </w:rPr>
              <w:t xml:space="preserve"/>
            </w:r>
          </w:p>
        </w:tc>
      </w:tr>
      <w:tr>
        <w:tc>
          <w:tcPr>
            <w:tcW w:type="dxa" w:w="468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pPr>
              <w:spacing w:after="60"/>
            </w:pPr>
            <w:r>
              <w:rPr>
                <w:rFonts w:ascii="Arial" w:cs="Arial" w:eastAsia="Arial" w:hAnsi="Arial"/>
                <w:b/>
                <w:bCs/>
                <w:i w:val="false"/>
                <w:iCs w:val="false"/>
                <w:color w:val="666666"/>
                <w:sz w:val="18"/>
                <w:szCs w:val="18"/>
              </w:rPr>
              <w:t xml:space="preserve">Reviewed By</w:t>
            </w:r>
          </w:p>
          <w:p>
            <w:pPr>
              <w:spacing w:after="100"/>
            </w:pPr>
            <w:r>
              <w:rPr>
                <w:rFonts w:ascii="Arial" w:cs="Arial" w:eastAsia="Arial" w:hAnsi="Arial"/>
                <w:sz w:val="22"/>
                <w:szCs w:val="22"/>
              </w:rPr>
              <w:t xml:space="preserve"/>
            </w:r>
          </w:p>
        </w:tc>
        <w:tc>
          <w:tcPr>
            <w:tcW w:type="dxa" w:w="468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pPr>
              <w:spacing w:after="60"/>
            </w:pPr>
            <w:r>
              <w:rPr>
                <w:rFonts w:ascii="Arial" w:cs="Arial" w:eastAsia="Arial" w:hAnsi="Arial"/>
                <w:b/>
                <w:bCs/>
                <w:i w:val="false"/>
                <w:iCs w:val="false"/>
                <w:color w:val="666666"/>
                <w:sz w:val="18"/>
                <w:szCs w:val="18"/>
              </w:rPr>
              <w:t xml:space="preserve">Date</w:t>
            </w:r>
          </w:p>
          <w:p>
            <w:pPr>
              <w:spacing w:after="100"/>
            </w:pPr>
            <w:r>
              <w:rPr>
                <w:rFonts w:ascii="Arial" w:cs="Arial" w:eastAsia="Arial" w:hAnsi="Arial"/>
                <w:sz w:val="22"/>
                <w:szCs w:val="22"/>
              </w:rPr>
              <w:t xml:space="preserve"/>
            </w:r>
          </w:p>
        </w:tc>
      </w:tr>
      <w:tr>
        <w:tc>
          <w:tcPr>
            <w:tcW w:type="dxa" w:w="468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pPr>
              <w:spacing w:after="60"/>
            </w:pPr>
            <w:r>
              <w:rPr>
                <w:rFonts w:ascii="Arial" w:cs="Arial" w:eastAsia="Arial" w:hAnsi="Arial"/>
                <w:b/>
                <w:bCs/>
                <w:i w:val="false"/>
                <w:iCs w:val="false"/>
                <w:color w:val="666666"/>
                <w:sz w:val="18"/>
                <w:szCs w:val="18"/>
              </w:rPr>
              <w:t xml:space="preserve">Policy Owner Approval (if required)</w:t>
            </w:r>
          </w:p>
          <w:p>
            <w:pPr>
              <w:spacing w:after="100"/>
            </w:pPr>
            <w:r>
              <w:rPr>
                <w:rFonts w:ascii="Arial" w:cs="Arial" w:eastAsia="Arial" w:hAnsi="Arial"/>
                <w:sz w:val="22"/>
                <w:szCs w:val="22"/>
              </w:rPr>
              <w:t xml:space="preserve"/>
            </w:r>
          </w:p>
        </w:tc>
        <w:tc>
          <w:tcPr>
            <w:tcW w:type="dxa" w:w="468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pPr>
              <w:spacing w:after="60"/>
            </w:pPr>
            <w:r>
              <w:rPr>
                <w:rFonts w:ascii="Arial" w:cs="Arial" w:eastAsia="Arial" w:hAnsi="Arial"/>
                <w:b/>
                <w:bCs/>
                <w:i w:val="false"/>
                <w:iCs w:val="false"/>
                <w:color w:val="666666"/>
                <w:sz w:val="18"/>
                <w:szCs w:val="18"/>
              </w:rPr>
              <w:t xml:space="preserve">Date</w:t>
            </w:r>
          </w:p>
          <w:p>
            <w:pPr>
              <w:spacing w:after="100"/>
            </w:pPr>
            <w:r>
              <w:rPr>
                <w:rFonts w:ascii="Arial" w:cs="Arial" w:eastAsia="Arial" w:hAnsi="Arial"/>
                <w:sz w:val="22"/>
                <w:szCs w:val="22"/>
              </w:rPr>
              <w:t xml:space="preserve"/>
            </w:r>
          </w:p>
        </w:tc>
      </w:tr>
    </w:tbl>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b w:val="false"/>
        <w:bCs w:val="false"/>
        <w:i w:val="false"/>
        <w:iCs w:val="false"/>
        <w:color w:val="999999"/>
        <w:sz w:val="18"/>
        <w:szCs w:val="18"/>
      </w:rPr>
      <w:t xml:space="preserve">The Operator's Manual for Artificial Intelligence  —  Template Kit  |  Page </w:t>
    </w:r>
    <w:r>
      <w:rPr>
        <w:rFonts w:ascii="Arial" w:cs="Arial" w:eastAsia="Arial" w:hAnsi="Arial"/>
        <w:color w:val="999999"/>
        <w:sz w:val="18"/>
        <w:szCs w:val="18"/>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2026-06-21T13:52:55.036Z</dcterms:created>
  <dcterms:modified xsi:type="dcterms:W3CDTF">2026-06-21T13:52:55.036Z</dcterms:modified>
</cp:coreProperties>
</file>

<file path=docProps/custom.xml><?xml version="1.0" encoding="utf-8"?>
<Properties xmlns="http://schemas.openxmlformats.org/officeDocument/2006/custom-properties" xmlns:vt="http://schemas.openxmlformats.org/officeDocument/2006/docPropsVTypes"/>
</file>